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80"/>
        <w:jc w:val="center"/>
      </w:pPr>
      <w:r>
        <w:rPr>
          <w:b/>
          <w:color w:val="0F766E"/>
          <w:sz w:val="24"/>
        </w:rPr>
        <w:t>2026–2027 EĞİTİM ÖĞRETİM YILI</w:t>
      </w:r>
    </w:p>
    <w:p>
      <w:pPr>
        <w:spacing w:after="160"/>
        <w:jc w:val="center"/>
      </w:pPr>
      <w:r>
        <w:rPr>
          <w:b/>
          <w:color w:val="0B2545"/>
          <w:sz w:val="52"/>
        </w:rPr>
        <w:t>ORTAOKUL</w:t>
      </w:r>
    </w:p>
    <w:p>
      <w:pPr>
        <w:spacing w:after="440"/>
        <w:jc w:val="center"/>
      </w:pPr>
      <w:r>
        <w:rPr>
          <w:color w:val="52606D"/>
          <w:sz w:val="30"/>
        </w:rPr>
        <w:t>Öğretmenler kurulu • branş zümreleri • şube kurulları • yıllık çalışma programı • kontrol listeleri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00"/>
        <w:gridCol w:w="7590"/>
      </w:tblGrid>
      <w:tr>
        <w:trPr>
          <w:tblHeader w:val="true"/>
          <w:cantSplit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Kurum bilgisi</w:t>
            </w:r>
          </w:p>
        </w:tc>
        <w:tc>
          <w:tcPr>
            <w:tcW w:type="dxa" w:w="7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Doldurulacak alan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İl / İlçe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Kurum adı / Kodu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Müdür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Hazırlayan kurul / zümre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Belge tarihi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 / .... / 2026</w:t>
            </w:r>
          </w:p>
        </w:tc>
      </w:tr>
    </w:tbl>
    <w:p/>
    <w:p>
      <w:pPr>
        <w:spacing w:before="200"/>
        <w:jc w:val="center"/>
      </w:pPr>
      <w:r>
        <w:rPr>
          <w:b/>
          <w:color w:val="1D4ED8"/>
          <w:sz w:val="22"/>
        </w:rPr>
        <w:t>Siz söyleyin, Plan Robotu size özel hazırlasın.</w:t>
        <w:br/>
        <w:t>Zamanınız size kalsın.</w:t>
      </w:r>
    </w:p>
    <w:p>
      <w:r>
        <w:br w:type="page"/>
      </w:r>
    </w:p>
    <w:p>
      <w:pPr>
        <w:pStyle w:val="Heading1"/>
      </w:pPr>
      <w:r>
        <w:t>Belgenin kullanımı ve güncellik notu</w:t>
      </w:r>
    </w:p>
    <w:p>
      <w:pPr>
        <w:pStyle w:val="ListBullet"/>
        <w:spacing w:after="80" w:line="264" w:lineRule="auto"/>
        <w:ind w:left="539" w:hanging="272"/>
      </w:pPr>
      <w:r>
        <w:t>Bu paket, resmî mevzuat ve çalışma takvimindeki ortak yükümlülükler esas alınarak Plan Robotu / Evrak Robotu için özgün biçimde hazırlanmıştır; başka sitelerdeki toplantı metinleri kopyalanmamıştır.</w:t>
      </w:r>
    </w:p>
    <w:p>
      <w:pPr>
        <w:pStyle w:val="ListBullet"/>
        <w:spacing w:after="80" w:line="264" w:lineRule="auto"/>
        <w:ind w:left="539" w:hanging="272"/>
      </w:pPr>
      <w:r>
        <w:t>Köşeli ayraç içindeki alanlar kurum tarafından doldurulmalı; il/ilçe millî eğitim müdürlüğünün çalışma takvimi, resmî yazılar ve kurumun özel şartlarıyla karşılaştırılmalıdır.</w:t>
      </w:r>
    </w:p>
    <w:p>
      <w:pPr>
        <w:pStyle w:val="ListBullet"/>
        <w:spacing w:after="80" w:line="264" w:lineRule="auto"/>
        <w:ind w:left="539" w:hanging="272"/>
      </w:pPr>
      <w:r>
        <w:t>Toplantı kararları kurul tarafından gerçekten görüşülmeden ve oylanmadan kesin karar gibi kullanılmamalıdır. Taslak, karar alma sürecini kolaylaştırır; kurul iradesinin yerine geçmez.</w:t>
      </w:r>
    </w:p>
    <w:p>
      <w:pPr>
        <w:pStyle w:val="ListBullet"/>
        <w:spacing w:after="80" w:line="264" w:lineRule="auto"/>
        <w:ind w:left="539" w:hanging="272"/>
      </w:pPr>
      <w:r>
        <w:t>Ortaokul sene başı öğretmenler kuruluna okul öncesi/1. sınıf uyum haftası yazılmaz. 5. sınıf geçiş desteği, ders yılına yayılan rehberlik ve izleme süreci olarak ele alınır.</w:t>
      </w:r>
    </w:p>
    <w:p>
      <w:pPr>
        <w:pStyle w:val="ListBullet"/>
        <w:spacing w:after="80" w:line="264" w:lineRule="auto"/>
        <w:ind w:left="539" w:hanging="272"/>
      </w:pPr>
      <w:r>
        <w:t>Kişisel veri içeren öğrenci, veli ve personel listeleri herkese açık dosyaya yazılmamalı; erişimi sınırlı kurum arşivinde tutulmalıdır.</w:t>
      </w:r>
    </w:p>
    <w:p>
      <w:pPr>
        <w:pStyle w:val="Heading2"/>
      </w:pPr>
      <w:r>
        <w:t>2026–2027 için doğrulanan ortak tarihler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2300"/>
        <w:gridCol w:w="51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İşlem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Tarih / dönem</w:t>
            </w:r>
          </w:p>
        </w:tc>
        <w:tc>
          <w:tcPr>
            <w:tcW w:type="dxa" w:w="5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Uygulama notu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Öğretmenlerin göreve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Mesleki çalışma dönemi başlar.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Sene başı öğretmenler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Yerel takvim farklıysa il/ilçe takvimi esas alınır.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Eğitim kurumu sınıf/alan zümreleri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 Eylül 2026 Çarşamba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 kurulunu takip eden iş günü.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Zümre başkanları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3 Eylül 2026 Perşembe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Kurumdaki sınıf/alan zümre başkanları.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Uyum eğitimi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7–11 Eylül 2026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Yalnız okul öncesi ve ilkokul 1. sınıf; diğer kademelere yazılmaz.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14 Eylül 2026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Örgün eğitim kurumları.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Birinci dönemin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22 Ocak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Yarıyıl tatili 25 Ocak–5 Şubat 2027.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İkinci dönemin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8 Şubat 2027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Dönem başı kurulları yerel takvime göre.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25 Haziran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Yıl sonu kurul ve değerlendirmeleri takip eden günlerde.</w:t>
            </w:r>
          </w:p>
        </w:tc>
      </w:tr>
    </w:tbl>
    <w:p>
      <w:pPr>
        <w:pStyle w:val="Heading2"/>
      </w:pPr>
      <w:r>
        <w:t>Resmî dayanaklar</w:t>
      </w:r>
    </w:p>
    <w:p>
      <w:pPr>
        <w:spacing w:after="80"/>
      </w:pPr>
      <w:r>
        <w:rPr>
          <w:b/>
        </w:rPr>
        <w:t>MEB Eğitim Kurulları ve Zümreleri Yönergesi (21.01.2025 işlenmiş metin)</w:t>
        <w:br/>
      </w:r>
      <w:r>
        <w:rPr>
          <w:color w:val="1D4ED8"/>
          <w:sz w:val="17"/>
        </w:rPr>
        <w:t>https://ogm.meb.gov.tr/meb_iys_dosyalar/2025_01/29121158_mebegitimkurullarivezumreleriyonergesi21.01.2025.pdf</w:t>
      </w:r>
    </w:p>
    <w:p>
      <w:pPr>
        <w:spacing w:after="80"/>
      </w:pPr>
      <w:r>
        <w:rPr>
          <w:b/>
        </w:rPr>
        <w:t>2026-2027 eğitim-öğretim yılı çalışma takvimi (İstanbul İl MEM resmî takvimi)</w:t>
        <w:br/>
      </w:r>
      <w:r>
        <w:rPr>
          <w:color w:val="1D4ED8"/>
          <w:sz w:val="17"/>
        </w:rPr>
        <w:t>https://istanbul.meb.gov.tr/meb_iys_dosyalar/2026_07/6a6c821c692a7368019891_2026-2027_%C3%87alisma_Takvimi.pdf</w:t>
      </w:r>
    </w:p>
    <w:p>
      <w:pPr>
        <w:spacing w:after="80"/>
      </w:pPr>
      <w:r>
        <w:rPr>
          <w:b/>
        </w:rPr>
        <w:t>MEB Okul Öncesi Eğitim ve İlköğretim Kurumları Yönetmeliği 2026 değişikliği</w:t>
        <w:br/>
      </w:r>
      <w:r>
        <w:rPr>
          <w:color w:val="1D4ED8"/>
          <w:sz w:val="17"/>
        </w:rPr>
        <w:t>https://www.meb.gov.tr/meb-okul-oncesi-egitim-ve-ilkogretim-kurumlari-yonetmeliginde-yapilan-degisiklik-resmi-gazetede-yayimlandi/haber/41487/tr</w:t>
      </w:r>
    </w:p>
    <w:p>
      <w:pPr>
        <w:spacing w:after="80"/>
      </w:pPr>
      <w:r>
        <w:rPr>
          <w:b/>
        </w:rPr>
        <w:t>MEB Hayat Boyu Öğrenme Kurumları Yönetmeliği ve 2024 değişikliği</w:t>
        <w:br/>
      </w:r>
      <w:r>
        <w:rPr>
          <w:color w:val="1D4ED8"/>
          <w:sz w:val="17"/>
        </w:rPr>
        <w:t>https://hbogm.meb.gov.tr/www/quothayat-boyu-ogrenme-kurumlari-yonetmeligiquotnde-degisiklik-yapildi/icerik/1798</w:t>
      </w:r>
    </w:p>
    <w:p>
      <w:pPr>
        <w:spacing w:after="80"/>
      </w:pPr>
      <w:r>
        <w:rPr>
          <w:b/>
        </w:rPr>
        <w:t>Türkiye Yüzyılı Maarif Modeli 2026-2027 taslak çerçeve planları</w:t>
        <w:br/>
      </w:r>
      <w:r>
        <w:rPr>
          <w:color w:val="1D4ED8"/>
          <w:sz w:val="17"/>
        </w:rPr>
        <w:t>https://tymm.meb.gov.tr/taslak-cerceve-planlari/temel-egitim</w:t>
      </w:r>
    </w:p>
    <w:p>
      <w:r>
        <w:br w:type="page"/>
      </w:r>
    </w:p>
    <w:p>
      <w:pPr>
        <w:pStyle w:val="Heading1"/>
      </w:pPr>
      <w:r>
        <w:t>Sene başı öğretmenler kurulu toplantı paketi</w:t>
      </w:r>
    </w:p>
    <w:p>
      <w:pPr>
        <w:pStyle w:val="Heading2"/>
      </w:pPr>
      <w:r>
        <w:t>Toplantı çağrısı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74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Alan</w:t>
            </w:r>
          </w:p>
        </w:tc>
        <w:tc>
          <w:tcPr>
            <w:tcW w:type="dxa" w:w="74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Bilgi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Ortaokul 2026–2027 Eğitim Öğretim Yılı Sene Başı Öğretmenler Kurulu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Tarih / saat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 Eylül 2026 Salı / 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Yer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Başkan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Kurum Müdürü 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Yazmanlar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1) .................................  2) 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Duyuru tarihi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Toplantıdan en az 5 gün önce: .... / .... / 2026</w:t>
            </w:r>
          </w:p>
        </w:tc>
      </w:tr>
    </w:tbl>
    <w:p>
      <w:pPr>
        <w:spacing w:before="160"/>
      </w:pPr>
      <w:r>
        <w:rPr>
          <w:b/>
        </w:rPr>
        <w:t xml:space="preserve">Duyuru metni: </w:t>
      </w:r>
      <w:r>
        <w:t>Aşağıdaki gündem maddelerini görüşmek üzere belirtilen tarih, saat ve yerde öğretmenler kurulu toplantısı yapılacaktır. Kurul üyelerinin toplantıya hazırlıklı ve zamanında katılması rica olunur.</w:t>
      </w:r>
    </w:p>
    <w:p>
      <w:pPr>
        <w:pStyle w:val="Heading2"/>
      </w:pPr>
      <w:r>
        <w:t>Gündem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Açılış, yoklama, kurul yazmanlarının belirlenmesi ve bir önceki toplantı kararlarının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2026–2027 çalışma takvimi, ilgili yönetmelik/yönergeler ve kuruma ulaşan resmî yazıların incelenmesi.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5–8. sınıflarda Türkiye Yüzyılı Maarif Modeli geçiş kademeleri, ders/alan planları ve öğrenme çıktısı izleme yaklaşımı.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5. sınıf öğrencileri için okul/branş sistemine geçiş rehberliği; şube rehber öğretmenleri ve velilerle izleme.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Ortak yazılılar, süreç değerlendirme, gelişim raporları, destek eğitim ve sınıf/şube öğretmenler kurullarının ekim-şubat-haziran takvimi.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LGS süreci, sınav güvenliği, rehberlik ve öğrenci esenliğini koruyan çalışma ilkeleri (8. sınıf).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Türkiye Yüzyılı Maarif Modeli kapsamında öğretim programlarının uygulanması, zümreler arası eşgüdüm ve öğrenci gelişiminin izlenmesi.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Ders dağılımı, nöbet, kulüp/sosyal etkinlik, rehberlik, ölçme-değerlendirme ve destek eğitim süreçlerinin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Devam-devamsızlık, okul güvenliği, afet/acil durum, iş sağlığı ve güvenliği, çocuk koruma ve kişisel veri güvenliği tedbirleri.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Veli iletişimi, okul-aile iş birliği, okul web sayfası/randevu süreçleri ve kurum dışı paydaşlarla iş birliği.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Kaynakların, dersliklerin, atölye/laboratuvarların, kütüphanenin ve dijital araçların verimli kullanılması.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İzleme, sorumlu kişiler, kanıt belgeleri ve kararların değerlendirme tarihlerinin belirlenmesi.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Dilek ve temenniler; kararların okunması, oylanması ve kapanış.</w:t>
      </w:r>
    </w:p>
    <w:p>
      <w:pPr>
        <w:pStyle w:val="Heading2"/>
      </w:pPr>
      <w:r>
        <w:t>Toplantı tutanağı yazım iskeleti</w:t>
      </w:r>
    </w:p>
    <w:p>
      <w:r>
        <w:rPr>
          <w:b/>
        </w:rPr>
        <w:t xml:space="preserve">Açılış ve katılım: </w:t>
      </w:r>
      <w:r>
        <w:t>Toplantı, kurum müdürü ................................ tarafından saat ........'de açıldı. Yoklama sonucunda ........ üyenin katıldığı, ........ üyenin mazeretli olduğu görüldü.</w:t>
      </w:r>
    </w:p>
    <w:p>
      <w:r>
        <w:rPr>
          <w:b/>
        </w:rPr>
        <w:t xml:space="preserve">Önceki kararlar: </w:t>
      </w:r>
      <w:r>
        <w:t>Bir önceki kurul kararları madde madde incelendi; tamamlanan, devam eden ve güncellenmesi gereken işler aşağıdaki karar izleme çizelgesine işlendi.</w:t>
      </w:r>
    </w:p>
    <w:p>
      <w:r>
        <w:rPr>
          <w:b/>
        </w:rPr>
        <w:t xml:space="preserve">Görüşmeler: </w:t>
      </w:r>
      <w:r>
        <w:t>Her gündem maddesi için görüşlerin özeti, gerekçeler, varsa karşı görüş ve alınan karar ayrı paragrafta yazılır.</w:t>
      </w:r>
    </w:p>
    <w:p>
      <w:r>
        <w:rPr>
          <w:b/>
        </w:rPr>
        <w:t xml:space="preserve">Kapanış: </w:t>
      </w:r>
      <w:r>
        <w:t>Kararlar kurul üyelerine okundu, oylandı ve toplantı saat ........'de sona erdi.</w:t>
      </w:r>
    </w:p>
    <w:p>
      <w:pPr>
        <w:pStyle w:val="Heading2"/>
      </w:pPr>
      <w:r>
        <w:t>Karar ve izleme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30"/>
        <w:gridCol w:w="3480"/>
        <w:gridCol w:w="1500"/>
        <w:gridCol w:w="1150"/>
        <w:gridCol w:w="1980"/>
        <w:gridCol w:w="1550"/>
      </w:tblGrid>
      <w:tr>
        <w:trPr>
          <w:tblHeader w:val="true"/>
          <w:cantSplit w:val="true"/>
        </w:trPr>
        <w:tc>
          <w:tcPr>
            <w:tcW w:type="dxa" w:w="4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No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/ yapılacak iş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 / çıktı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Durum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5. sınıf geçiş rehberliği ilk sekiz haftada izlenecektir.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Şube rehber öğretmenleri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Uyum/gözlem raporu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Branş zümreleri ortak öğrenme çıktısı ve ölçme araçlarını belirleyecektir.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Zümre başkanları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Zümre kararları/araç örnekleri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Şube öğretmenler kurulları ekim, şubat ve haziran aylarında yapılacaktır.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Müdürlük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Toplantı tutanakları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8. sınıf rehberliği öğrenci esenliği ve gerçekçi çalışma planıyla yürütülecektir.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Rehberlik servisi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Rehberlik etkinlik kayıtları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</w:tbl>
    <w:p>
      <w:r>
        <w:t>Not: Kararlar toplantıda görüşülüp oylandıktan sonra kesinleştirilir. Muhalefet şerhi varsa kararın altında gerekçesiyle gösterilir.</w:t>
      </w:r>
    </w:p>
    <w:p>
      <w:pPr>
        <w:pStyle w:val="Heading2"/>
      </w:pPr>
      <w:r>
        <w:t>Katılım ve imza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700"/>
        <w:gridCol w:w="2600"/>
        <w:gridCol w:w="2400"/>
        <w:gridCol w:w="1700"/>
        <w:gridCol w:w="2690"/>
      </w:tblGrid>
      <w:tr>
        <w:trPr>
          <w:tblHeader w:val="true"/>
          <w:cantSplit w:val="true"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Sıra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Adı soyadı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Görevi / alanı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İmza</w:t>
            </w:r>
          </w:p>
        </w:tc>
        <w:tc>
          <w:tcPr>
            <w:tcW w:type="dxa" w:w="2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6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7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8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9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Sene başı zümre toplantısı paketi</w:t>
      </w:r>
    </w:p>
    <w:p>
      <w:r>
        <w:t>Ortaokulda zümreler branş/alan temelinde oluşturulur. Aşağıdaki ekler her branşın kendine özgü odaklarını gösterir; toplantıda yalnız ilgili olanlar kullanılır.</w:t>
      </w:r>
    </w:p>
    <w:p>
      <w:pPr>
        <w:pStyle w:val="Heading2"/>
      </w:pPr>
      <w:r>
        <w:t>Ortak usul</w:t>
      </w:r>
    </w:p>
    <w:p>
      <w:pPr>
        <w:pStyle w:val="ListBullet"/>
        <w:spacing w:after="80" w:line="264" w:lineRule="auto"/>
        <w:ind w:left="539" w:hanging="272"/>
      </w:pPr>
      <w:r>
        <w:t>Toplantı, öğretmenler kurulunu takip eden iş gününde ve kurum müdürü veya müdür yardımcısının koordinesinde yapılır.</w:t>
      </w:r>
    </w:p>
    <w:p>
      <w:pPr>
        <w:pStyle w:val="ListBullet"/>
        <w:spacing w:after="80" w:line="264" w:lineRule="auto"/>
        <w:ind w:left="539" w:hanging="272"/>
      </w:pPr>
      <w:r>
        <w:t>Tarih, yer ve gündem olağanüstü durumlar dışında en az 5 gün önce duyurulur.</w:t>
      </w:r>
    </w:p>
    <w:p>
      <w:pPr>
        <w:pStyle w:val="ListBullet"/>
        <w:spacing w:after="80" w:line="264" w:lineRule="auto"/>
        <w:ind w:left="539" w:hanging="272"/>
      </w:pPr>
      <w:r>
        <w:t>Kararlar oy çokluğuyla alınır; eşitlik hâlinde zümre başkanının katıldığı görüş kabul edilir ve müdür onayından sonra uygulanır.</w:t>
      </w:r>
    </w:p>
    <w:p>
      <w:pPr>
        <w:pStyle w:val="ListBullet"/>
        <w:spacing w:after="80" w:line="264" w:lineRule="auto"/>
        <w:ind w:left="539" w:hanging="272"/>
      </w:pPr>
      <w:r>
        <w:t>Tutanak, toplantıya katılmayanlar dâhil ilgili zümre üyelerince imzalanır ve kurum yönetimince saklanır.</w:t>
      </w:r>
    </w:p>
    <w:p>
      <w:pPr>
        <w:pStyle w:val="ListBullet"/>
        <w:spacing w:after="80" w:line="264" w:lineRule="auto"/>
        <w:ind w:left="539" w:hanging="272"/>
      </w:pPr>
      <w:r>
        <w:t>Bir önceki kararlar, öğrenme çıktıları, ortak ölçme araçları, farklılaştırma, rehberlik, materyal, iş sağlığı/güvenliği ve izleme sonuçları gündeme alınır.</w:t>
      </w:r>
    </w:p>
    <w:p>
      <w:pPr>
        <w:pStyle w:val="Heading2"/>
      </w:pPr>
      <w:r>
        <w:t>Türkçe</w:t>
      </w:r>
    </w:p>
    <w:p>
      <w:r>
        <w:rPr>
          <w:b/>
        </w:rPr>
        <w:t xml:space="preserve">Kapsam: </w:t>
      </w:r>
      <w:r>
        <w:t>5–8. sınıf dil becerileri ve okuma kültürü.</w:t>
      </w:r>
    </w:p>
    <w:p>
      <w:pPr>
        <w:pStyle w:val="Heading3"/>
      </w:pPr>
      <w:r>
        <w:t>Özgün gündem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Dinleme/izleme, konuşma, okuma ve yazma dengesinin planlanması.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Metin türleri, söz varlığı ve okuma kültürü çalışmaları.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Ortak rubrikler ve süreç kanıtları.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Disiplinler arası okuryazarlık.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Dil becerileri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Dört beceri kanıtı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Okuma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Dönemlik okuma gelişimi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Yazma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Ortak rubrik</w:t>
            </w:r>
          </w:p>
        </w:tc>
      </w:tr>
    </w:tbl>
    <w:p/>
    <w:p>
      <w:pPr>
        <w:pStyle w:val="Heading2"/>
      </w:pPr>
      <w:r>
        <w:t>Matematik</w:t>
      </w:r>
    </w:p>
    <w:p>
      <w:r>
        <w:rPr>
          <w:b/>
        </w:rPr>
        <w:t xml:space="preserve">Kapsam: </w:t>
      </w:r>
      <w:r>
        <w:t>Kavramsal anlayış, muhakeme ve problem çözme.</w:t>
      </w:r>
    </w:p>
    <w:p>
      <w:pPr>
        <w:pStyle w:val="Heading3"/>
      </w:pPr>
      <w:r>
        <w:t>Özgün gündem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Somut-model-sembol geçişi.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Matematiksel muhakeme ve iletişim.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Ortak ölçme ve hata analizi.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Farklılaştırma/destek.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Muhakeme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Açık uçlu kanıt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Problem çözme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Strateji çeşitliliği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Destek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Kazanım/çıktı izleme</w:t>
            </w:r>
          </w:p>
        </w:tc>
      </w:tr>
    </w:tbl>
    <w:p/>
    <w:p>
      <w:pPr>
        <w:pStyle w:val="Heading2"/>
      </w:pPr>
      <w:r>
        <w:t>Fen Bilimleri</w:t>
      </w:r>
    </w:p>
    <w:p>
      <w:r>
        <w:rPr>
          <w:b/>
        </w:rPr>
        <w:t xml:space="preserve">Kapsam: </w:t>
      </w:r>
      <w:r>
        <w:t>Araştırma-sorgulama, deney ve laboratuvar güvenliği.</w:t>
      </w:r>
    </w:p>
    <w:p>
      <w:pPr>
        <w:pStyle w:val="Heading3"/>
      </w:pPr>
      <w:r>
        <w:t>Özgün gündem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Deney/gözlem takvimi.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Laboratuvar riskleri ve malzeme yönetimi.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Bilimsel süreç becerileri.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Çevre/sürdürülebilirlik projeleri.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Deney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Güvenli uygulama sayısı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Bilimsel süreç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Gözlem/rapor kanıtı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Güvenlik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Kontrol listesi</w:t>
            </w:r>
          </w:p>
        </w:tc>
      </w:tr>
    </w:tbl>
    <w:p/>
    <w:p>
      <w:pPr>
        <w:pStyle w:val="Heading2"/>
      </w:pPr>
      <w:r>
        <w:t>Sosyal Bilgiler ve T.C. İnkılap Tarihi</w:t>
      </w:r>
    </w:p>
    <w:p>
      <w:r>
        <w:rPr>
          <w:b/>
        </w:rPr>
        <w:t xml:space="preserve">Kapsam: </w:t>
      </w:r>
      <w:r>
        <w:t>Kanıt kullanma, vatandaşlık, tarihsel düşünme.</w:t>
      </w:r>
    </w:p>
    <w:p>
      <w:pPr>
        <w:pStyle w:val="Heading3"/>
      </w:pPr>
      <w:r>
        <w:t>Özgün gündem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Birincil/ikincil kaynak kullanımı.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Yerel tarih ve okul dışı öğrenme.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Hak, sorumluluk ve dijital vatandaşlık.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8. sınıf program sürekliliği.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Kanıt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Kaynak değerlendirme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Vatandaşlık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Uygulama/katılım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Yerel öğrenme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Etkinlik raporu</w:t>
            </w:r>
          </w:p>
        </w:tc>
      </w:tr>
    </w:tbl>
    <w:p/>
    <w:p>
      <w:pPr>
        <w:pStyle w:val="Heading2"/>
      </w:pPr>
      <w:r>
        <w:t>Yabancı Dil</w:t>
      </w:r>
    </w:p>
    <w:p>
      <w:r>
        <w:rPr>
          <w:b/>
        </w:rPr>
        <w:t xml:space="preserve">Kapsam: </w:t>
      </w:r>
      <w:r>
        <w:t>İletişimsel dil kullanımı ve dört beceri.</w:t>
      </w:r>
    </w:p>
    <w:p>
      <w:pPr>
        <w:pStyle w:val="Heading3"/>
      </w:pPr>
      <w:r>
        <w:t>Özgün gündem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Dinleme-konuşma ağırlıklı sınıf rutinleri.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Ortak performans görevleri.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Düzey farklılaştırma.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Dijital/telif güvenli materyal.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İletişim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Konuşma performansı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Dört beceri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Portfolyo kanıtı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Materyal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Telif/güvenlik kontrolü</w:t>
            </w:r>
          </w:p>
        </w:tc>
      </w:tr>
    </w:tbl>
    <w:p/>
    <w:p>
      <w:pPr>
        <w:pStyle w:val="Heading2"/>
      </w:pPr>
      <w:r>
        <w:t>DKAB / Görsel Sanatlar / Müzik / Beden Eğitimi / Bilişim / Teknoloji Tasarım</w:t>
      </w:r>
    </w:p>
    <w:p>
      <w:r>
        <w:rPr>
          <w:b/>
        </w:rPr>
        <w:t xml:space="preserve">Kapsam: </w:t>
      </w:r>
      <w:r>
        <w:t>Her alanın performans, üretim, güvenlik ve etik boyutları.</w:t>
      </w:r>
    </w:p>
    <w:p>
      <w:pPr>
        <w:pStyle w:val="Heading3"/>
      </w:pPr>
      <w:r>
        <w:t>Özgün gündem</w:t>
      </w:r>
    </w:p>
    <w:p>
      <w:pPr>
        <w:numPr>
          <w:ilvl w:val="0"/>
          <w:numId w:val="16"/>
        </w:numPr>
        <w:spacing w:after="100" w:line="264" w:lineRule="auto"/>
        <w:ind w:left="720" w:hanging="363"/>
      </w:pPr>
      <w:r>
        <w:t>Alan becerileri ve ürün/performans ölçütleri.</w:t>
      </w:r>
    </w:p>
    <w:p>
      <w:pPr>
        <w:numPr>
          <w:ilvl w:val="0"/>
          <w:numId w:val="16"/>
        </w:numPr>
        <w:spacing w:after="100" w:line="264" w:lineRule="auto"/>
        <w:ind w:left="720" w:hanging="363"/>
      </w:pPr>
      <w:r>
        <w:t>Atölye, spor alanı ve bilişim laboratuvarı güvenliği.</w:t>
      </w:r>
    </w:p>
    <w:p>
      <w:pPr>
        <w:numPr>
          <w:ilvl w:val="0"/>
          <w:numId w:val="16"/>
        </w:numPr>
        <w:spacing w:after="100" w:line="264" w:lineRule="auto"/>
        <w:ind w:left="720" w:hanging="363"/>
      </w:pPr>
      <w:r>
        <w:t>Telif, mahremiyet, etik ve dijital güvenlik.</w:t>
      </w:r>
    </w:p>
    <w:p>
      <w:pPr>
        <w:numPr>
          <w:ilvl w:val="0"/>
          <w:numId w:val="16"/>
        </w:numPr>
        <w:spacing w:after="100" w:line="264" w:lineRule="auto"/>
        <w:ind w:left="720" w:hanging="363"/>
      </w:pPr>
      <w:r>
        <w:t>Sergi, gösteri, turnuva ve proje takvimi.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Performans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Alan rubriği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Güvenlik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Alan kontrol listesi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Etik/telif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Kaynak/izin kaydı</w:t>
            </w:r>
          </w:p>
        </w:tc>
      </w:tr>
    </w:tbl>
    <w:p>
      <w:pPr>
        <w:pStyle w:val="Heading2"/>
      </w:pPr>
      <w:r>
        <w:t>Zümre imza ve onay bölümü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22"/>
        <w:gridCol w:w="2522"/>
        <w:gridCol w:w="2522"/>
        <w:gridCol w:w="2524"/>
      </w:tblGrid>
      <w:tr>
        <w:trPr>
          <w:tblHeader w:val="true"/>
          <w:cantSplit w:val="true"/>
        </w:trPr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Zümre başkanı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4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Uygundur / Okul müdürü</w:t>
            </w:r>
          </w:p>
        </w:tc>
      </w:tr>
      <w:tr>
        <w:trPr>
          <w:cantSplit w:val="true"/>
        </w:trPr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 / Tarih</w:t>
            </w:r>
          </w:p>
        </w:tc>
      </w:tr>
    </w:tbl>
    <w:p>
      <w:r>
        <w:br w:type="page"/>
      </w:r>
    </w:p>
    <w:p>
      <w:pPr>
        <w:pStyle w:val="Heading1"/>
      </w:pPr>
      <w:r>
        <w:t>2026–2027 ayrıntılı yıllık çalışma programı</w:t>
      </w:r>
    </w:p>
    <w:p>
      <w:r>
        <w:t>Bu program Ortaokul için bir sayfalık genel takvim yerine, her ayın hazırlık, uygulama, izleme ve kanıt üretme adımlarını birlikte gösterir. Kurum, il/ilçe takvimindeki yerel tarihleri 'Kesin tarih' sütununa işler.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"/>
        <w:gridCol w:w="3660"/>
        <w:gridCol w:w="1700"/>
        <w:gridCol w:w="1100"/>
        <w:gridCol w:w="2230"/>
        <w:gridCol w:w="500"/>
      </w:tblGrid>
      <w:tr>
        <w:trPr>
          <w:tblHeader w:val="true"/>
          <w:cantSplit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Ay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Faaliyet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Kesin tarih</w:t>
            </w:r>
          </w:p>
        </w:tc>
        <w:tc>
          <w:tcPr>
            <w:tcW w:type="dxa" w:w="22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Kanıt / çıktı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İzleme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Eylül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5. sınıf geçiş/uyum rehberliğini ders yılı içinde izlenecek destek planına dönüştür; bunu ilkokul uyum haftası olarak yazma.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5–8. sınıf alan zümreleri için ortak ölçme ve öğrenme çıktısı izleme araçlarını belirle.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Kurul/zümre toplantıları ve görev dağılımlarını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plan, rehberlik, sosyal etkinlik ve risk takvimlerini onayla.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Öğrenci/personel kayıtları ile acil durum iletişimlerini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Ekim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Sınıf/şube öğretmenler kurullarını ekim ayı içinde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Veli/katılımcı bilgilendirmelerini ve okul-aile iş birliğini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Devam, gelişim ve öğrenme verilerini ilk izleme toplantısında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Kasım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Dönem ortası zümre değerlendirmesini yap; destek ve farklılaştırma tedbirlerini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 tatil öncesi güvenlik ve bakım kontrolü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Aralık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Bütçe, tüketim, taşınır, satın alma ve kaynak ihtiyacını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kanıt dosyalarını tamlık ve veri güvenliği yönünden denetle.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Ocak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ölçme/gelişim sonuçlarını değerlendir ve dönem sonu raporlarını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Yarıyıl tatili bakım, güvenlik ve ikinci dönem hazırlık planını uygula.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Şubat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İkinci dönem kurul/zümre toplantılarını ve revize planları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Risk grubundaki öğrenciler/katılımcılar için destek kararlarını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Mart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Rehberlik, sosyal etkinlik, devamsızlık ve akademik/mesleki gelişim göstergelerini izle.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Afet, yangın ve tahliye hazırlığını tatbikatla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Nisan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Zümre/alan ara toplantılarını yap; ortak ölçme ve materyal sonuçlarını incele.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yılın ihtiyaç, bakım ve insan kaynağı verilerini toplamaya başla.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Mayıs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sergi, proje, sosyal etkinlik ve değerlendirme planlarını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 kararlarının gerçekleşme oranını kontrol et; eksikleri kapat.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Haziran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Sınıf/şube öğretmenler kurulunda sınıf geçme, destek ve yönlendirme sonuçlarını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kurul/zümre toplantıları, raporlar, teslimler ve arşiv işlemlerini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 için iyileştirme önerileri ve ihtiyaç listesini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Temmuz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Kayıt, bakım-onarım, taşınır ve fiziki hazırlık çalışmalarını yerel takvime göre yürüt.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Evrak saklama/devir işlemlerini ve erişim yetkilerini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Ağustos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Yeni yıl çalışma takvimi, kurul gündemleri ve görevlendirme taslaklarını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Personel, derslik/atölye ve materyal ihtiyacını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</w:tbl>
    <w:p>
      <w:pPr>
        <w:pStyle w:val="Heading2"/>
      </w:pPr>
      <w:r>
        <w:t>Üç aylık izleme değerlendirmesi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050"/>
        <w:gridCol w:w="2150"/>
        <w:gridCol w:w="2100"/>
        <w:gridCol w:w="2600"/>
        <w:gridCol w:w="2190"/>
      </w:tblGrid>
      <w:tr>
        <w:trPr>
          <w:tblHeader w:val="true"/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Dönem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Tamamlanan işler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Gecikme / risk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Düzeltici faaliyet</w:t>
            </w:r>
          </w:p>
        </w:tc>
        <w:tc>
          <w:tcPr>
            <w:tcW w:type="dxa" w:w="2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Sorumlu ve yeni tarih</w:t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Eyl–Kas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Ara–Şub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Mar–May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Haz–Ağu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Okul/kurum evrakları ana kontrol listesi</w:t>
      </w:r>
    </w:p>
    <w:p>
      <w:r>
        <w:t>Liste, Ortaokul için okul yılı başında kurulması veya güncellenmesi gereken çekirdek kayıtları kapsar. Özel eğitim, pansiyon, taşıma, atölye, döner sermaye, okul türü ve yerel talimatlar ek evrak doğurabilir.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50"/>
        <w:gridCol w:w="1500"/>
        <w:gridCol w:w="3570"/>
        <w:gridCol w:w="1750"/>
        <w:gridCol w:w="1300"/>
        <w:gridCol w:w="1520"/>
      </w:tblGrid>
      <w:tr>
        <w:trPr>
          <w:tblHeader w:val="true"/>
          <w:cantSplit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No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Dosya grubu</w:t>
            </w:r>
          </w:p>
        </w:tc>
        <w:tc>
          <w:tcPr>
            <w:tcW w:type="dxa" w:w="357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Belge / kayıt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Sıklık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Kontrol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Sene başı/2. dönem/yıl sonu öğretmenler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Sınıf/alan zümreleri ve zümre başkanları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çalışma programı ve karar izleme çizelgesi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Ders dağıtım çizelgesi ve görevlendirmeler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Nöbet çizelgesi ve nöbet talimatı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psikolojik danışma hizmetleri yürütme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Devam-devamsızlık izleme ve veli bildirim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Özel eğitim/BEP ve destek eğitim odası kayıtları (varsa)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Sosyal etkinlik, kulüp ve toplum hizmeti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 iletişimi/randevu ve toplantı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 ve acil durum planı, tahliye krokileri ve tatbikat tutanakları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Yangın önleme/söndürme planı ve ekip görevlendirmeleri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İş sağlığı ve güvenliği risk değerlendirmesi ve kurul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güvenliği, ziyaretçi ve olay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KVKK/kişisel veri erişim ve saklama tedbirleri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Taşınır kayıtları, sayım ve devir-teslim belgeleri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Temizlik, hijyen, bakım-onarım ve kontrol formları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Resmî yazı, gelen-giden evrak ve dosya planı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Okul-aile birliği genel kurul ve mali işlem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Web sayfası, duyuru ve fotoğraf/video izin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Ortaokula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Ekim-şubat-haziran sınıf/şube öğretmenler kurulu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Ortaokula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5. sınıf geçiş rehberliği izleme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Ortaokula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Ortak yazılı/ölçme değerlendirme ve sınav güvenliği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Ortaokula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8. sınıf LGS rehberlik ve tercih danışmanlığı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Ortaokula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Laboratuvar/atölye/spor alanı güvenlik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</w:tbl>
    <w:p>
      <w:pPr>
        <w:pStyle w:val="Heading2"/>
      </w:pPr>
      <w:r>
        <w:t>Kurum arşivleme etiketi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100"/>
        <w:gridCol w:w="2400"/>
        <w:gridCol w:w="1300"/>
        <w:gridCol w:w="1800"/>
        <w:gridCol w:w="1800"/>
        <w:gridCol w:w="1690"/>
      </w:tblGrid>
      <w:tr>
        <w:trPr>
          <w:tblHeader w:val="true"/>
          <w:cantSplit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kodu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adı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Eğitim yılı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Saklama yeri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Erişim yetkisi</w:t>
            </w:r>
          </w:p>
        </w:tc>
        <w:tc>
          <w:tcPr>
            <w:tcW w:type="dxa" w:w="1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İmha / devir notu</w:t>
            </w:r>
          </w:p>
        </w:tc>
      </w:tr>
      <w:tr>
        <w:trPr>
          <w:cantSplit w:val="true"/>
        </w:trPr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2026–2027</w:t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Ortak izleme ve teslim formları</w:t>
      </w:r>
    </w:p>
    <w:p>
      <w:pPr>
        <w:pStyle w:val="Heading2"/>
      </w:pPr>
      <w:r>
        <w:t>Karar izleme formu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850"/>
        <w:gridCol w:w="2500"/>
        <w:gridCol w:w="1350"/>
        <w:gridCol w:w="1100"/>
        <w:gridCol w:w="1100"/>
        <w:gridCol w:w="1450"/>
        <w:gridCol w:w="1740"/>
      </w:tblGrid>
      <w:tr>
        <w:trPr>
          <w:tblHeader w:val="true"/>
          <w:cantSplit w:val="true"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no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Faaliyet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Gerçekleşme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</w:tbl>
    <w:p>
      <w:pPr>
        <w:pStyle w:val="Heading2"/>
      </w:pPr>
      <w:r>
        <w:t>Evrak kalite kontrolü</w:t>
      </w:r>
    </w:p>
    <w:p>
      <w:pPr>
        <w:pStyle w:val="ListBullet"/>
        <w:spacing w:after="80" w:line="264" w:lineRule="auto"/>
        <w:ind w:left="539" w:hanging="272"/>
      </w:pPr>
      <w:r>
        <w:t>Kurum türü ve toplantı adı doğru mu; başka kademeye ait ifade kaldı mı?</w:t>
      </w:r>
    </w:p>
    <w:p>
      <w:pPr>
        <w:pStyle w:val="ListBullet"/>
        <w:spacing w:after="80" w:line="264" w:lineRule="auto"/>
        <w:ind w:left="539" w:hanging="272"/>
      </w:pPr>
      <w:r>
        <w:t>Tarih, katılımcı, gündem, görüşme özeti, karar, sorumlu, termin ve imza alanları tamam mı?</w:t>
      </w:r>
    </w:p>
    <w:p>
      <w:pPr>
        <w:pStyle w:val="ListBullet"/>
        <w:spacing w:after="80" w:line="264" w:lineRule="auto"/>
        <w:ind w:left="539" w:hanging="272"/>
      </w:pPr>
      <w:r>
        <w:t>Kişisel veriler gereksiz biçimde çoğaltılmış mı; erişim yetkisi belirlenmiş mi?</w:t>
      </w:r>
    </w:p>
    <w:p>
      <w:pPr>
        <w:pStyle w:val="ListBullet"/>
        <w:spacing w:after="80" w:line="264" w:lineRule="auto"/>
        <w:ind w:left="539" w:hanging="272"/>
      </w:pPr>
      <w:r>
        <w:t>Kararlar ölçülebilir mi; kanıt/çıktı ve izleme tarihi tanımlı mı?</w:t>
      </w:r>
    </w:p>
    <w:p>
      <w:pPr>
        <w:pStyle w:val="ListBullet"/>
        <w:spacing w:after="80" w:line="264" w:lineRule="auto"/>
        <w:ind w:left="539" w:hanging="272"/>
      </w:pPr>
      <w:r>
        <w:t>İl/ilçe çalışma takvimi ve son resmî yazılarla karşılaştırma yapıldı mı?</w:t>
      </w:r>
    </w:p>
    <w:p>
      <w:pPr>
        <w:pStyle w:val="ListBullet"/>
        <w:spacing w:after="80" w:line="264" w:lineRule="auto"/>
        <w:ind w:left="539" w:hanging="272"/>
      </w:pPr>
      <w:r>
        <w:t>Word dosyası üzerinde son sayfa düzeni ve yazdırma önizlemesi kontrol edildi mi?</w:t>
      </w:r>
    </w:p>
    <w:p>
      <w:pPr>
        <w:pStyle w:val="Heading2"/>
      </w:pPr>
      <w:r>
        <w:t>Telif ve sorumluluk notu</w:t>
      </w:r>
    </w:p>
    <w:p>
      <w:r>
        <w:rPr>
          <w:b/>
        </w:rPr>
        <w:t xml:space="preserve">Özgün içerik: </w:t>
      </w:r>
      <w:r>
        <w:t>Metinler resmî mevzuatın gereklilikleri yorumlanarak sıfırdan yazılmıştır. Resmî düzenlemelerin kendisi kaynak olarak gösterilmiş; üçüncü taraf sitelerdeki hazır tutanak ve plan metinleri kopyalanmamıştır.</w:t>
      </w:r>
    </w:p>
    <w:p>
      <w:r>
        <w:rPr>
          <w:b/>
        </w:rPr>
        <w:t xml:space="preserve">Kullanım sınırı: </w:t>
      </w:r>
      <w:r>
        <w:t>Bu dosya hukuki görüş değil, düzenlenebilir eğitim yönetimi taslağıdır. Güncel mevzuat ve kurumun bağlı olduğu il/ilçe talimatları uygulama öncesi yönetimce kontrol edilmelidir.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2606D"/>
        <w:sz w:val="16"/>
      </w:rPr>
      <w:t xml:space="preserve">2026–2027 • Özgün ve düzenlenebilir taslak • Sayfa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color w:val="52606D"/>
        <w:sz w:val="16"/>
      </w:rPr>
      <w:t>PLAN ROBOTU • EVRAK ROBOTU  |  Ortaokul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D4E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D4ED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