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0"/>
        <w:jc w:val="center"/>
      </w:pPr>
      <w:r>
        <w:rPr>
          <w:b/>
          <w:color w:val="EF6942"/>
          <w:sz w:val="18"/>
        </w:rPr>
        <w:t>PLAN ROBOTU · ÖZGÜN ALTERNATİF DOSYA</w:t>
      </w:r>
    </w:p>
    <w:p>
      <w:pPr>
        <w:pStyle w:val="Title"/>
        <w:jc w:val="center"/>
      </w:pPr>
      <w:r>
        <w:t>Sene Başı Öğretmenler Kurulu Alternatifleri</w:t>
      </w:r>
    </w:p>
    <w:p>
      <w:pPr>
        <w:jc w:val="center"/>
      </w:pPr>
      <w:r>
        <w:rPr>
          <w:color w:val="657786"/>
          <w:sz w:val="24"/>
        </w:rPr>
        <w:t>Okul öncesi · İlkokul · Ortaokul · Lise · Halk Eğitimi Merkezi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Okul / Kurum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................................................................................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İl / İlçe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 / ................................................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Eğitim Öğretim Yılı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2026–2027</w:t>
            </w:r>
          </w:p>
        </w:tc>
      </w:tr>
      <w:tr>
        <w:tc>
          <w:tcPr>
            <w:tcW w:type="dxa" w:w="2376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Hazırlayan / Düzenleyen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................................................................................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3EE"/>
            <w:tcMar>
              <w:top w:w="150" w:type="dxa"/>
              <w:start w:w="160" w:type="dxa"/>
              <w:bottom w:w="150" w:type="dxa"/>
              <w:end w:w="160" w:type="dxa"/>
            </w:tcMar>
          </w:tcPr>
          <w:p>
            <w:r>
              <w:rPr>
                <w:b/>
              </w:rPr>
              <w:t>KULLANIM NOTU</w:t>
              <w:br/>
              <w:t>Bu dosya, toplantı yapılmış ve kararlar kesinleşmiş gibi düzenlenmemiştir. Gündem, görüşme özeti, karar, sorumlu ve termin alanları gerçek toplantıya göre tamamlanmalı; uygulanan mevzuat, yerel takvim, okul koşulları ve katılımcı iradesiyle son kez doğrulanmalıdır.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A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OKUL ÖNCESİ SENE BAŞI ÖĞRETMENLER KURULU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Gelişim, oyun ve aile katılımı odaklı kurul gündemi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Saat / Yer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/ 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Başkan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Katılmayan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 / mazeret: 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Açılış, yoklama, yazman seçimi ve bir önceki kurul kararlarının izlenmesi.</w:t>
      </w:r>
    </w:p>
    <w:p>
      <w:pPr>
        <w:ind w:left="317" w:hanging="317"/>
      </w:pPr>
      <w:r>
        <w:rPr>
          <w:b/>
        </w:rPr>
        <w:t xml:space="preserve">2. </w:t>
      </w:r>
      <w:r>
        <w:t>36–72 ay yaş grupları, kayıt durumu, sınıf mevcudu, gelişimsel farklılıklar ve uyum sürecinin planlanması.</w:t>
      </w:r>
    </w:p>
    <w:p>
      <w:pPr>
        <w:ind w:left="317" w:hanging="317"/>
      </w:pPr>
      <w:r>
        <w:rPr>
          <w:b/>
        </w:rPr>
        <w:t xml:space="preserve">3. </w:t>
      </w:r>
      <w:r>
        <w:t>2026–2027 çalışma takvimi, aylık eğitim planları, günlük eğitim akışları ve öğretmen yansıtmalarının eş güdümü.</w:t>
      </w:r>
    </w:p>
    <w:p>
      <w:pPr>
        <w:ind w:left="317" w:hanging="317"/>
      </w:pPr>
      <w:r>
        <w:rPr>
          <w:b/>
        </w:rPr>
        <w:t xml:space="preserve">4. </w:t>
      </w:r>
      <w:r>
        <w:t>Türkiye Yüzyılı Maarif Modeli kapsamında oyun, öğrenme merkezleri, sosyal-duygusal öğrenme ve erken okuryazarlık çalışmaları.</w:t>
      </w:r>
    </w:p>
    <w:p>
      <w:pPr>
        <w:ind w:left="317" w:hanging="317"/>
      </w:pPr>
      <w:r>
        <w:rPr>
          <w:b/>
        </w:rPr>
        <w:t xml:space="preserve">5. </w:t>
      </w:r>
      <w:r>
        <w:t>Gözlem kayıtları, gelişim dosyaları, süreç değerlendirme ve aileyle etik veri paylaşımı.</w:t>
      </w:r>
    </w:p>
    <w:p>
      <w:pPr>
        <w:ind w:left="317" w:hanging="317"/>
      </w:pPr>
      <w:r>
        <w:rPr>
          <w:b/>
        </w:rPr>
        <w:t xml:space="preserve">6. </w:t>
      </w:r>
      <w:r>
        <w:t>Beslenme, hijyen, uyku/dinlenme, açık hava etkinliği, teslim alma–teslim etme ve acil durum güvenliği.</w:t>
      </w:r>
    </w:p>
    <w:p>
      <w:pPr>
        <w:ind w:left="317" w:hanging="317"/>
      </w:pPr>
      <w:r>
        <w:rPr>
          <w:b/>
        </w:rPr>
        <w:t xml:space="preserve">7. </w:t>
      </w:r>
      <w:r>
        <w:t>Kaynaştırma/BEP, dil desteği, erişilebilirlik, çocuk koruma ve rehberlik iş birliği.</w:t>
      </w:r>
    </w:p>
    <w:p>
      <w:pPr>
        <w:ind w:left="317" w:hanging="317"/>
      </w:pPr>
      <w:r>
        <w:rPr>
          <w:b/>
        </w:rPr>
        <w:t xml:space="preserve">8. </w:t>
      </w:r>
      <w:r>
        <w:t>Aile katılımı, okul-toplum iş birliği, materyal güvenliği ve dönemlik etkinlik takvimi.</w:t>
      </w:r>
    </w:p>
    <w:p>
      <w:pPr>
        <w:pStyle w:val="Heading2"/>
      </w:pPr>
      <w:r>
        <w:t>Kuruma özgü görüşme soruları</w:t>
      </w:r>
    </w:p>
    <w:p>
      <w:pPr>
        <w:pStyle w:val="ListBullet"/>
      </w:pPr>
      <w:r>
        <w:t>Geçen yıl hangi karar beklenen etkiyi oluşturdu; kanıtı nedir?</w:t>
      </w:r>
    </w:p>
    <w:p>
      <w:pPr>
        <w:pStyle w:val="ListBullet"/>
      </w:pPr>
      <w:r>
        <w:t>Bu yılın en kritik üç öğrenci/kursiyer ihtiyacı nedir?</w:t>
      </w:r>
    </w:p>
    <w:p>
      <w:pPr>
        <w:pStyle w:val="ListBullet"/>
      </w:pPr>
      <w:r>
        <w:t>Hangi uygulama için ortak ölçüt, sorumlu ve izleme tarihi belirlenmelidir?</w:t>
      </w:r>
    </w:p>
    <w:p>
      <w:pPr>
        <w:pStyle w:val="ListBullet"/>
      </w:pPr>
      <w:r>
        <w:t>Yerel takvim, fiziki koşul veya insan kaynağı nedeniyle hangi uyarlama gerekir?</w:t>
      </w:r>
    </w:p>
    <w:p>
      <w:pPr>
        <w:pStyle w:val="Heading2"/>
      </w:pPr>
      <w:r>
        <w:t>Karara dönüştürülecek öncelikler</w:t>
      </w:r>
    </w:p>
    <w:p>
      <w:pPr>
        <w:pStyle w:val="ListBullet"/>
      </w:pPr>
      <w:r>
        <w:t>Aylık plan ve günlük akış kontrol takvimi</w:t>
      </w:r>
    </w:p>
    <w:p>
      <w:pPr>
        <w:pStyle w:val="ListBullet"/>
      </w:pPr>
      <w:r>
        <w:t>Gelişim gözlem sıklığı</w:t>
      </w:r>
    </w:p>
    <w:p>
      <w:pPr>
        <w:pStyle w:val="ListBullet"/>
      </w:pPr>
      <w:r>
        <w:t>Aile iletişim kanalı</w:t>
      </w:r>
    </w:p>
    <w:p>
      <w:pPr>
        <w:pStyle w:val="ListBullet"/>
      </w:pPr>
      <w:r>
        <w:t>Güvenli teslim prosedürü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p>
      <w:pPr>
        <w:pStyle w:val="Heading2"/>
      </w:pPr>
      <w:r>
        <w:t>Katılımcı listesi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Sıra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Ad Soyad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Görev / Branş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İmza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1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2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3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4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5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Toplantı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B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İLKOKUL SENE BAŞI ÖĞRETMENLER KURULU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Sınıf düzeyine göre uyum, temel beceriler ve süreç izleme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Saat / Yer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/ 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Başkan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Katılmayan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 / mazeret: 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Açılış, yoklama, yazman seçimi ve önceki kararların gerçekleşme durumunun incelenmesi.</w:t>
      </w:r>
    </w:p>
    <w:p>
      <w:pPr>
        <w:ind w:left="317" w:hanging="317"/>
      </w:pPr>
      <w:r>
        <w:rPr>
          <w:b/>
        </w:rPr>
        <w:t xml:space="preserve">2. </w:t>
      </w:r>
      <w:r>
        <w:t>1. sınıf için okula uyum, hazırbulunuşluk ve ilk okuma yazmaya hazırlık; 2–4. sınıflar için seviye belirleme ve öğrenme sürekliliği.</w:t>
      </w:r>
    </w:p>
    <w:p>
      <w:pPr>
        <w:ind w:left="317" w:hanging="317"/>
      </w:pPr>
      <w:r>
        <w:rPr>
          <w:b/>
        </w:rPr>
        <w:t xml:space="preserve">3. </w:t>
      </w:r>
      <w:r>
        <w:t>Ders programları, nöbet, rehberlik, kulüp/sosyal etkinlikler ve sınıflar arası ortak uygulamalar.</w:t>
      </w:r>
    </w:p>
    <w:p>
      <w:pPr>
        <w:ind w:left="317" w:hanging="317"/>
      </w:pPr>
      <w:r>
        <w:rPr>
          <w:b/>
        </w:rPr>
        <w:t xml:space="preserve">4. </w:t>
      </w:r>
      <w:r>
        <w:t>Yıllık ve günlük planların güncel program, çalışma takvimi, zümre kararları ve kullanılan ders kitabına göre hazırlanması.</w:t>
      </w:r>
    </w:p>
    <w:p>
      <w:pPr>
        <w:ind w:left="317" w:hanging="317"/>
      </w:pPr>
      <w:r>
        <w:rPr>
          <w:b/>
        </w:rPr>
        <w:t xml:space="preserve">5. </w:t>
      </w:r>
      <w:r>
        <w:t>Okuma akıcılığı, anlama, matematiksel düşünme ve temel öğrenme eksiklerinin süreç içinde izlenmesi.</w:t>
      </w:r>
    </w:p>
    <w:p>
      <w:pPr>
        <w:ind w:left="317" w:hanging="317"/>
      </w:pPr>
      <w:r>
        <w:rPr>
          <w:b/>
        </w:rPr>
        <w:t xml:space="preserve">6. </w:t>
      </w:r>
      <w:r>
        <w:t>Kaynaştırma/BEP, destek eğitim, farklılaştırma, devamsızlık riski ve rehberlik yönlendirmeleri.</w:t>
      </w:r>
    </w:p>
    <w:p>
      <w:pPr>
        <w:ind w:left="317" w:hanging="317"/>
      </w:pPr>
      <w:r>
        <w:rPr>
          <w:b/>
        </w:rPr>
        <w:t xml:space="preserve">7. </w:t>
      </w:r>
      <w:r>
        <w:t>Ödev yerine yaşa uygun pekiştirme çalışmaları; veli bilgilendirmesi ve dijital içerik kullanım ilkeleri.</w:t>
      </w:r>
    </w:p>
    <w:p>
      <w:pPr>
        <w:ind w:left="317" w:hanging="317"/>
      </w:pPr>
      <w:r>
        <w:rPr>
          <w:b/>
        </w:rPr>
        <w:t xml:space="preserve">8. </w:t>
      </w:r>
      <w:r>
        <w:t>Okul güvenliği, servis/çıkış düzeni, afet hazırlığı, çocuk koruma ve kişisel verilerin korunması.</w:t>
      </w:r>
    </w:p>
    <w:p>
      <w:pPr>
        <w:pStyle w:val="Heading2"/>
      </w:pPr>
      <w:r>
        <w:t>Kuruma özgü görüşme soruları</w:t>
      </w:r>
    </w:p>
    <w:p>
      <w:pPr>
        <w:pStyle w:val="ListBullet"/>
      </w:pPr>
      <w:r>
        <w:t>Geçen yıl hangi karar beklenen etkiyi oluşturdu; kanıtı nedir?</w:t>
      </w:r>
    </w:p>
    <w:p>
      <w:pPr>
        <w:pStyle w:val="ListBullet"/>
      </w:pPr>
      <w:r>
        <w:t>Bu yılın en kritik üç öğrenci/kursiyer ihtiyacı nedir?</w:t>
      </w:r>
    </w:p>
    <w:p>
      <w:pPr>
        <w:pStyle w:val="ListBullet"/>
      </w:pPr>
      <w:r>
        <w:t>Hangi uygulama için ortak ölçüt, sorumlu ve izleme tarihi belirlenmelidir?</w:t>
      </w:r>
    </w:p>
    <w:p>
      <w:pPr>
        <w:pStyle w:val="ListBullet"/>
      </w:pPr>
      <w:r>
        <w:t>Yerel takvim, fiziki koşul veya insan kaynağı nedeniyle hangi uyarlama gerekir?</w:t>
      </w:r>
    </w:p>
    <w:p>
      <w:pPr>
        <w:pStyle w:val="Heading2"/>
      </w:pPr>
      <w:r>
        <w:t>Karara dönüştürülecek öncelikler</w:t>
      </w:r>
    </w:p>
    <w:p>
      <w:pPr>
        <w:pStyle w:val="ListBullet"/>
      </w:pPr>
      <w:r>
        <w:t>1. sınıf uyum akışı</w:t>
      </w:r>
    </w:p>
    <w:p>
      <w:pPr>
        <w:pStyle w:val="ListBullet"/>
      </w:pPr>
      <w:r>
        <w:t>Okuma-gelişim izleme</w:t>
      </w:r>
    </w:p>
    <w:p>
      <w:pPr>
        <w:pStyle w:val="ListBullet"/>
      </w:pPr>
      <w:r>
        <w:t>Pekiştirme materyali ölçütü</w:t>
      </w:r>
    </w:p>
    <w:p>
      <w:pPr>
        <w:pStyle w:val="ListBullet"/>
      </w:pPr>
      <w:r>
        <w:t>Veli bilgilendirme planı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p>
      <w:pPr>
        <w:pStyle w:val="Heading2"/>
      </w:pPr>
      <w:r>
        <w:t>Katılımcı listesi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Sıra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Ad Soyad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Görev / Branş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İmza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1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2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3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4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5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Toplantı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C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ORTAOKUL SENE BAŞI ÖĞRETMENLER KURULU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Branş iş birliği, 5. sınıf rehberliği ve LGS süreci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Saat / Yer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/ 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Başkan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Katılmayan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 / mazeret: 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Açılış, yoklama, yazman seçimi ve önceki kurul kararlarının izlenmesi.</w:t>
      </w:r>
    </w:p>
    <w:p>
      <w:pPr>
        <w:ind w:left="317" w:hanging="317"/>
      </w:pPr>
      <w:r>
        <w:rPr>
          <w:b/>
        </w:rPr>
        <w:t xml:space="preserve">2. </w:t>
      </w:r>
      <w:r>
        <w:t>5. sınıfların ortaokula uyumu, okul işleyişi ve rehberlik çalışmaları; sınıf öğretmenliği uyum haftası maddesi eklenmez.</w:t>
      </w:r>
    </w:p>
    <w:p>
      <w:pPr>
        <w:ind w:left="317" w:hanging="317"/>
      </w:pPr>
      <w:r>
        <w:rPr>
          <w:b/>
        </w:rPr>
        <w:t xml:space="preserve">3. </w:t>
      </w:r>
      <w:r>
        <w:t>5–8. sınıf ders programları, seçmeli dersler, ortak alan kullanımı ve branşlar arası eş güdüm.</w:t>
      </w:r>
    </w:p>
    <w:p>
      <w:pPr>
        <w:ind w:left="317" w:hanging="317"/>
      </w:pPr>
      <w:r>
        <w:rPr>
          <w:b/>
        </w:rPr>
        <w:t xml:space="preserve">4. </w:t>
      </w:r>
      <w:r>
        <w:t>Yıllık/günlük planların program, çalışma takvimi, zümre kararları ve okulda okutulan kitap dizilişiyle uyumu.</w:t>
      </w:r>
    </w:p>
    <w:p>
      <w:pPr>
        <w:ind w:left="317" w:hanging="317"/>
      </w:pPr>
      <w:r>
        <w:rPr>
          <w:b/>
        </w:rPr>
        <w:t xml:space="preserve">5. </w:t>
      </w:r>
      <w:r>
        <w:t>Ölçme-değerlendirme, ortak sınavlar, süreç kanıtları, geri bildirim ve öğrenme eksiklerine müdahale.</w:t>
      </w:r>
    </w:p>
    <w:p>
      <w:pPr>
        <w:ind w:left="317" w:hanging="317"/>
      </w:pPr>
      <w:r>
        <w:rPr>
          <w:b/>
        </w:rPr>
        <w:t xml:space="preserve">6. </w:t>
      </w:r>
      <w:r>
        <w:t>8. sınıf LGS rehberliği; sınav baskısını artırmadan akademik takip, psikososyal destek ve veli iletişimi.</w:t>
      </w:r>
    </w:p>
    <w:p>
      <w:pPr>
        <w:ind w:left="317" w:hanging="317"/>
      </w:pPr>
      <w:r>
        <w:rPr>
          <w:b/>
        </w:rPr>
        <w:t xml:space="preserve">7. </w:t>
      </w:r>
      <w:r>
        <w:t>Kaynaştırma/BEP, destek eğitim, DYK, devamsızlık ve okul terki risklerinin izlenmesi.</w:t>
      </w:r>
    </w:p>
    <w:p>
      <w:pPr>
        <w:ind w:left="317" w:hanging="317"/>
      </w:pPr>
      <w:r>
        <w:rPr>
          <w:b/>
        </w:rPr>
        <w:t xml:space="preserve">8. </w:t>
      </w:r>
      <w:r>
        <w:t>Akran zorbalığı, dijital güvenlik, laboratuvar/atölye güvenliği, afet ve acil durum hazırlığı.</w:t>
      </w:r>
    </w:p>
    <w:p>
      <w:pPr>
        <w:pStyle w:val="Heading2"/>
      </w:pPr>
      <w:r>
        <w:t>Kuruma özgü görüşme soruları</w:t>
      </w:r>
    </w:p>
    <w:p>
      <w:pPr>
        <w:pStyle w:val="ListBullet"/>
      </w:pPr>
      <w:r>
        <w:t>Geçen yıl hangi karar beklenen etkiyi oluşturdu; kanıtı nedir?</w:t>
      </w:r>
    </w:p>
    <w:p>
      <w:pPr>
        <w:pStyle w:val="ListBullet"/>
      </w:pPr>
      <w:r>
        <w:t>Bu yılın en kritik üç öğrenci/kursiyer ihtiyacı nedir?</w:t>
      </w:r>
    </w:p>
    <w:p>
      <w:pPr>
        <w:pStyle w:val="ListBullet"/>
      </w:pPr>
      <w:r>
        <w:t>Hangi uygulama için ortak ölçüt, sorumlu ve izleme tarihi belirlenmelidir?</w:t>
      </w:r>
    </w:p>
    <w:p>
      <w:pPr>
        <w:pStyle w:val="ListBullet"/>
      </w:pPr>
      <w:r>
        <w:t>Yerel takvim, fiziki koşul veya insan kaynağı nedeniyle hangi uyarlama gerekir?</w:t>
      </w:r>
    </w:p>
    <w:p>
      <w:pPr>
        <w:pStyle w:val="Heading2"/>
      </w:pPr>
      <w:r>
        <w:t>Karara dönüştürülecek öncelikler</w:t>
      </w:r>
    </w:p>
    <w:p>
      <w:pPr>
        <w:pStyle w:val="ListBullet"/>
      </w:pPr>
      <w:r>
        <w:t>5. sınıf rehberlik takvimi</w:t>
      </w:r>
    </w:p>
    <w:p>
      <w:pPr>
        <w:pStyle w:val="ListBullet"/>
      </w:pPr>
      <w:r>
        <w:t>Ortak ölçme ilkeleri</w:t>
      </w:r>
    </w:p>
    <w:p>
      <w:pPr>
        <w:pStyle w:val="ListBullet"/>
      </w:pPr>
      <w:r>
        <w:t>LGS destek planı</w:t>
      </w:r>
    </w:p>
    <w:p>
      <w:pPr>
        <w:pStyle w:val="ListBullet"/>
      </w:pPr>
      <w:r>
        <w:t>Laboratuvar güvenlik kontrolü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p>
      <w:pPr>
        <w:pStyle w:val="Heading2"/>
      </w:pPr>
      <w:r>
        <w:t>Katılımcı listesi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Sıra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Ad Soyad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Görev / Branş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İmza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1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2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3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4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5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Toplantı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D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LİSE SENE BAŞI ÖĞRETMENLER KURULU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Alan dersleri, akademik izleme, sınav ve kariyer planlaması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Saat / Yer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/ 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Başkan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Katılmayan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 / mazeret: 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Açılış, yoklama, yazman seçimi ve önceki yıl kurul kararlarının kanıtlarla değerlendirilmesi.</w:t>
      </w:r>
    </w:p>
    <w:p>
      <w:pPr>
        <w:ind w:left="317" w:hanging="317"/>
      </w:pPr>
      <w:r>
        <w:rPr>
          <w:b/>
        </w:rPr>
        <w:t xml:space="preserve">2. </w:t>
      </w:r>
      <w:r>
        <w:t>Hazırlık/9. sınıf öğrencilerinin lise ortamına uyumu, akademik beklentiler ve rehberlik programı.</w:t>
      </w:r>
    </w:p>
    <w:p>
      <w:pPr>
        <w:ind w:left="317" w:hanging="317"/>
      </w:pPr>
      <w:r>
        <w:rPr>
          <w:b/>
        </w:rPr>
        <w:t xml:space="preserve">3. </w:t>
      </w:r>
      <w:r>
        <w:t>Ders programları, alan/seçmeli dersler, laboratuvar-atölye kullanımı ve öğretmen görev dağılımları.</w:t>
      </w:r>
    </w:p>
    <w:p>
      <w:pPr>
        <w:ind w:left="317" w:hanging="317"/>
      </w:pPr>
      <w:r>
        <w:rPr>
          <w:b/>
        </w:rPr>
        <w:t xml:space="preserve">4. </w:t>
      </w:r>
      <w:r>
        <w:t>Yıllık/günlük planların program, okul temelli planlama, çalışma takvimi, kitap baskısı ve zümre kararlarıyla eşleştirilmesi.</w:t>
      </w:r>
    </w:p>
    <w:p>
      <w:pPr>
        <w:ind w:left="317" w:hanging="317"/>
      </w:pPr>
      <w:r>
        <w:rPr>
          <w:b/>
        </w:rPr>
        <w:t xml:space="preserve">5. </w:t>
      </w:r>
      <w:r>
        <w:t>Yazılı/uygulamalı sınavlar, süreç değerlendirme, ortak ölçütler, sınav güvenliği ve veri temelli geri bildirim.</w:t>
      </w:r>
    </w:p>
    <w:p>
      <w:pPr>
        <w:ind w:left="317" w:hanging="317"/>
      </w:pPr>
      <w:r>
        <w:rPr>
          <w:b/>
        </w:rPr>
        <w:t xml:space="preserve">6. </w:t>
      </w:r>
      <w:r>
        <w:t>12. sınıf TYT–AYT ve mesleki yönelim; öğrenciyi aşırı sınav yüküne sokmadan izleme, rehberlik ve veli iletişimi.</w:t>
      </w:r>
    </w:p>
    <w:p>
      <w:pPr>
        <w:ind w:left="317" w:hanging="317"/>
      </w:pPr>
      <w:r>
        <w:rPr>
          <w:b/>
        </w:rPr>
        <w:t xml:space="preserve">7. </w:t>
      </w:r>
      <w:r>
        <w:t>Kaynaştırma/BEP, devamsızlık, sınıf tekrarı ve okul terki risklerine yönelik erken uyarı mekanizması.</w:t>
      </w:r>
    </w:p>
    <w:p>
      <w:pPr>
        <w:ind w:left="317" w:hanging="317"/>
      </w:pPr>
      <w:r>
        <w:rPr>
          <w:b/>
        </w:rPr>
        <w:t xml:space="preserve">8. </w:t>
      </w:r>
      <w:r>
        <w:t>İSG, staj/işletme süreçleri varsa bunların koordinasyonu, dijital güvenlik ve afet hazırlığı.</w:t>
      </w:r>
    </w:p>
    <w:p>
      <w:pPr>
        <w:pStyle w:val="Heading2"/>
      </w:pPr>
      <w:r>
        <w:t>Kuruma özgü görüşme soruları</w:t>
      </w:r>
    </w:p>
    <w:p>
      <w:pPr>
        <w:pStyle w:val="ListBullet"/>
      </w:pPr>
      <w:r>
        <w:t>Geçen yıl hangi karar beklenen etkiyi oluşturdu; kanıtı nedir?</w:t>
      </w:r>
    </w:p>
    <w:p>
      <w:pPr>
        <w:pStyle w:val="ListBullet"/>
      </w:pPr>
      <w:r>
        <w:t>Bu yılın en kritik üç öğrenci/kursiyer ihtiyacı nedir?</w:t>
      </w:r>
    </w:p>
    <w:p>
      <w:pPr>
        <w:pStyle w:val="ListBullet"/>
      </w:pPr>
      <w:r>
        <w:t>Hangi uygulama için ortak ölçüt, sorumlu ve izleme tarihi belirlenmelidir?</w:t>
      </w:r>
    </w:p>
    <w:p>
      <w:pPr>
        <w:pStyle w:val="ListBullet"/>
      </w:pPr>
      <w:r>
        <w:t>Yerel takvim, fiziki koşul veya insan kaynağı nedeniyle hangi uyarlama gerekir?</w:t>
      </w:r>
    </w:p>
    <w:p>
      <w:pPr>
        <w:pStyle w:val="Heading2"/>
      </w:pPr>
      <w:r>
        <w:t>Karara dönüştürülecek öncelikler</w:t>
      </w:r>
    </w:p>
    <w:p>
      <w:pPr>
        <w:pStyle w:val="ListBullet"/>
      </w:pPr>
      <w:r>
        <w:t>9. sınıf uyum ve rehberlik</w:t>
      </w:r>
    </w:p>
    <w:p>
      <w:pPr>
        <w:pStyle w:val="ListBullet"/>
      </w:pPr>
      <w:r>
        <w:t>Ortak sınav takvimi</w:t>
      </w:r>
    </w:p>
    <w:p>
      <w:pPr>
        <w:pStyle w:val="ListBullet"/>
      </w:pPr>
      <w:r>
        <w:t>12. sınıf kariyer desteği</w:t>
      </w:r>
    </w:p>
    <w:p>
      <w:pPr>
        <w:pStyle w:val="ListBullet"/>
      </w:pPr>
      <w:r>
        <w:t>Laboratuvar/atölye İSG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p>
      <w:pPr>
        <w:pStyle w:val="Heading2"/>
      </w:pPr>
      <w:r>
        <w:t>Katılımcı listesi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Sıra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Ad Soyad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Görev / Branş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İmza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1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2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3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4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5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Toplantı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893"/>
            <w:shd w:fill="EF6942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E</w:t>
            </w:r>
          </w:p>
        </w:tc>
        <w:tc>
          <w:tcPr>
            <w:tcW w:type="dxa" w:w="8928"/>
            <w:shd w:fill="0A294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color w:val="FFFFFF"/>
              </w:rPr>
              <w:t>HALK EĞİTİMİ MERKEZİ SENE BAŞI ÖĞRETMENLER KURULU</w:t>
            </w:r>
          </w:p>
        </w:tc>
      </w:tr>
    </w:tbl>
    <w:p>
      <w:pPr>
        <w:jc w:val="center"/>
      </w:pPr>
      <w:r>
        <w:rPr>
          <w:i/>
          <w:color w:val="657786"/>
          <w:sz w:val="18"/>
        </w:rPr>
        <w:t>Kurs alanı ve programı esaslı kurum kurulu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Toplantı tarihi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 / .... / 2026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Saat / Yer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/ 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Başkan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Yazman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</w:t>
            </w:r>
          </w:p>
        </w:tc>
        <w:tc>
          <w:tcPr>
            <w:tcW w:type="dxa" w:w="2498"/>
            <w:shd w:fill="E8F2E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rPr>
                <w:b/>
              </w:rPr>
              <w:t>Katılmayan</w:t>
            </w:r>
          </w:p>
        </w:tc>
        <w:tc>
          <w:tcPr>
            <w:tcW w:type="dxa" w:w="249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........ kişi / mazeret: ................</w:t>
            </w:r>
          </w:p>
        </w:tc>
      </w:tr>
    </w:tbl>
    <w:p/>
    <w:p>
      <w:pPr>
        <w:pStyle w:val="Heading1"/>
      </w:pPr>
      <w:r>
        <w:t>Önerilen gündem</w:t>
      </w:r>
    </w:p>
    <w:p>
      <w:pPr>
        <w:ind w:left="317" w:hanging="317"/>
      </w:pPr>
      <w:r>
        <w:rPr>
          <w:b/>
        </w:rPr>
        <w:t xml:space="preserve">1. </w:t>
      </w:r>
      <w:r>
        <w:t>Açılış, yoklama, yazman seçimi ve önceki kurul kararlarının gerçekleşme durumunun incelenmesi.</w:t>
      </w:r>
    </w:p>
    <w:p>
      <w:pPr>
        <w:ind w:left="317" w:hanging="317"/>
      </w:pPr>
      <w:r>
        <w:rPr>
          <w:b/>
        </w:rPr>
        <w:t xml:space="preserve">2. </w:t>
      </w:r>
      <w:r>
        <w:t>e-Yaygın sistemindeki kurs alanları ve onaylı kurs programlarının güncellik, süre, yeterlik ve giriş koşulları yönünden kontrolü.</w:t>
      </w:r>
    </w:p>
    <w:p>
      <w:pPr>
        <w:ind w:left="317" w:hanging="317"/>
      </w:pPr>
      <w:r>
        <w:rPr>
          <w:b/>
        </w:rPr>
        <w:t xml:space="preserve">3. </w:t>
      </w:r>
      <w:r>
        <w:t>Kurs açma talepleri, yerel ihtiyaç analizi, kursiyer başvuruları, eğitici görevlendirme ve fiziki kapasite planlaması.</w:t>
      </w:r>
    </w:p>
    <w:p>
      <w:pPr>
        <w:ind w:left="317" w:hanging="317"/>
      </w:pPr>
      <w:r>
        <w:rPr>
          <w:b/>
        </w:rPr>
        <w:t xml:space="preserve">4. </w:t>
      </w:r>
      <w:r>
        <w:t>Kurs/modül planları, günlük uygulama kayıtları, devam-devamsızlık, ölçme, değerlendirme ve belgelendirme süreçleri.</w:t>
      </w:r>
    </w:p>
    <w:p>
      <w:pPr>
        <w:ind w:left="317" w:hanging="317"/>
      </w:pPr>
      <w:r>
        <w:rPr>
          <w:b/>
        </w:rPr>
        <w:t xml:space="preserve">5. </w:t>
      </w:r>
      <w:r>
        <w:t>Usta öğretici/öğretmen dosyaları, ders defteri, araç-gereç, sarf malzemesi ve atölye kullanım takvimi.</w:t>
      </w:r>
    </w:p>
    <w:p>
      <w:pPr>
        <w:ind w:left="317" w:hanging="317"/>
      </w:pPr>
      <w:r>
        <w:rPr>
          <w:b/>
        </w:rPr>
        <w:t xml:space="preserve">6. </w:t>
      </w:r>
      <w:r>
        <w:t>İSG, kişisel koruyucu donanım, makine/araç güvenliği, hijyen, acil durum ve risk değerlendirmesi.</w:t>
      </w:r>
    </w:p>
    <w:p>
      <w:pPr>
        <w:ind w:left="317" w:hanging="317"/>
      </w:pPr>
      <w:r>
        <w:rPr>
          <w:b/>
        </w:rPr>
        <w:t xml:space="preserve">7. </w:t>
      </w:r>
      <w:r>
        <w:t>Dezavantajlı gruplara erişim, engelli kursiyerler için erişilebilirlik, rehberlik ve kurumlar arası iş birliği.</w:t>
      </w:r>
    </w:p>
    <w:p>
      <w:pPr>
        <w:ind w:left="317" w:hanging="317"/>
      </w:pPr>
      <w:r>
        <w:rPr>
          <w:b/>
        </w:rPr>
        <w:t xml:space="preserve">8. </w:t>
      </w:r>
      <w:r>
        <w:t>Kurs sonu değerlendirme, istihdam/üretim bağlantısı, sergi-etkinlik takvimi ve veri güvenliği.</w:t>
      </w:r>
    </w:p>
    <w:p>
      <w:pPr>
        <w:pStyle w:val="Heading2"/>
      </w:pPr>
      <w:r>
        <w:t>Kuruma özgü görüşme soruları</w:t>
      </w:r>
    </w:p>
    <w:p>
      <w:pPr>
        <w:pStyle w:val="ListBullet"/>
      </w:pPr>
      <w:r>
        <w:t>Geçen yıl hangi karar beklenen etkiyi oluşturdu; kanıtı nedir?</w:t>
      </w:r>
    </w:p>
    <w:p>
      <w:pPr>
        <w:pStyle w:val="ListBullet"/>
      </w:pPr>
      <w:r>
        <w:t>Bu yılın en kritik üç öğrenci/kursiyer ihtiyacı nedir?</w:t>
      </w:r>
    </w:p>
    <w:p>
      <w:pPr>
        <w:pStyle w:val="ListBullet"/>
      </w:pPr>
      <w:r>
        <w:t>Hangi uygulama için ortak ölçüt, sorumlu ve izleme tarihi belirlenmelidir?</w:t>
      </w:r>
    </w:p>
    <w:p>
      <w:pPr>
        <w:pStyle w:val="ListBullet"/>
      </w:pPr>
      <w:r>
        <w:t>Yerel takvim, fiziki koşul veya insan kaynağı nedeniyle hangi uyarlama gerekir?</w:t>
      </w:r>
    </w:p>
    <w:p>
      <w:pPr>
        <w:pStyle w:val="Heading2"/>
      </w:pPr>
      <w:r>
        <w:t>Karara dönüştürülecek öncelikler</w:t>
      </w:r>
    </w:p>
    <w:p>
      <w:pPr>
        <w:pStyle w:val="ListBullet"/>
      </w:pPr>
      <w:r>
        <w:t>Kurs programı sürüm kontrolü</w:t>
      </w:r>
    </w:p>
    <w:p>
      <w:pPr>
        <w:pStyle w:val="ListBullet"/>
      </w:pPr>
      <w:r>
        <w:t>Eğitici ve mekân eşleştirmesi</w:t>
      </w:r>
    </w:p>
    <w:p>
      <w:pPr>
        <w:pStyle w:val="ListBullet"/>
      </w:pPr>
      <w:r>
        <w:t>Devam-belgelendirme kontrolü</w:t>
      </w:r>
    </w:p>
    <w:p>
      <w:pPr>
        <w:pStyle w:val="ListBullet"/>
      </w:pPr>
      <w:r>
        <w:t>Atölye İSG planı</w:t>
      </w:r>
    </w:p>
    <w:p>
      <w:pPr>
        <w:pStyle w:val="Heading1"/>
      </w:pPr>
      <w:r>
        <w:t>Karar ve eylem izleme tablosu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99"/>
        <w:gridCol w:w="1999"/>
        <w:gridCol w:w="1999"/>
        <w:gridCol w:w="1999"/>
        <w:gridCol w:w="1999"/>
      </w:tblGrid>
      <w:tr>
        <w:trPr>
          <w:tblHeader w:val="true"/>
        </w:trPr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No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Karar / Eylem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Sorumlu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Termin</w:t>
            </w:r>
          </w:p>
        </w:tc>
        <w:tc>
          <w:tcPr>
            <w:tcW w:type="dxa" w:w="1999"/>
            <w:shd w:fill="0A2946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İzleme Kanıtı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1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2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3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4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5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  <w:tr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6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................................................................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 / .... / 202..</w:t>
            </w:r>
          </w:p>
        </w:tc>
        <w:tc>
          <w:tcPr>
            <w:tcW w:type="dxa" w:w="1999"/>
            <w:shd w:fill="F4F6F5"/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sz w:val="17"/>
              </w:rPr>
              <w:t>................................</w:t>
            </w:r>
          </w:p>
        </w:tc>
      </w:tr>
    </w:tbl>
    <w:p/>
    <w:p>
      <w:pPr>
        <w:pStyle w:val="Heading2"/>
      </w:pPr>
      <w:r>
        <w:t>Katılımcı listesi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Sıra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Ad Soyad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Görev / Branş</w:t>
            </w:r>
          </w:p>
        </w:tc>
        <w:tc>
          <w:tcPr>
            <w:tcW w:type="dxa" w:w="2498"/>
            <w:shd w:fill="2E8372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FFFFFF"/>
              </w:rPr>
              <w:t>İmza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1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2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3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4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  <w:tr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5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  <w:tc>
          <w:tcPr>
            <w:tcW w:type="dxa" w:w="249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................................................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Toplantı Başkanı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  <w:shd w:fill="E8F2EF"/>
          </w:tcPr>
          <w:p>
            <w:pPr>
              <w:jc w:val="center"/>
            </w:pPr>
            <w:r>
              <w:rPr>
                <w:b/>
              </w:rPr>
              <w:t>Okul / Kurum Müdürü</w:t>
            </w:r>
          </w:p>
        </w:tc>
      </w:tr>
      <w:tr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  <w:tc>
          <w:tcPr>
            <w:tcW w:type="dxa" w:w="4997"/>
            <w:vAlign w:val="center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t>Ad Soyad / İmza</w:t>
              <w:br/>
              <w:br/>
              <w:t>................................................</w:t>
            </w:r>
          </w:p>
        </w:tc>
      </w:tr>
    </w:tbl>
    <w:p>
      <w:r>
        <w:br w:type="page"/>
      </w:r>
    </w:p>
    <w:p>
      <w:pPr>
        <w:pStyle w:val="Heading1"/>
      </w:pPr>
      <w:r>
        <w:t>Dayanak ve güncelleme kontrolü</w:t>
      </w:r>
    </w:p>
    <w:p>
      <w:pPr>
        <w:pStyle w:val="ListBullet"/>
      </w:pPr>
      <w:r>
        <w:t>MEB Eğitim Kurulları ve Zümreleri Yönergesi (21.01.2025 işlenmiş sürüm).</w:t>
      </w:r>
    </w:p>
    <w:p>
      <w:pPr>
        <w:pStyle w:val="ListBullet"/>
      </w:pPr>
      <w:r>
        <w:t>2026/70 sayılı 2026–2027 Eğitim ve Öğretim Yılına İlişkin İş ve İşlemler Genelgesi.</w:t>
      </w:r>
    </w:p>
    <w:p>
      <w:pPr>
        <w:pStyle w:val="ListBullet"/>
      </w:pPr>
      <w:r>
        <w:t>MEB 2026–2027 eğitim öğretim yılı çalışma takvimi ve ilgili il/ilçe çalışma takvimi.</w:t>
      </w:r>
    </w:p>
    <w:p>
      <w:pPr>
        <w:pStyle w:val="ListBullet"/>
      </w:pPr>
      <w:r>
        <w:t>Uygulanan öğretim programı, Türkiye Yüzyılı Maarif Modeli ortak metni ve okul/zümre kararları.</w:t>
      </w:r>
    </w:p>
    <w:p>
      <w:pPr>
        <w:pStyle w:val="ListBullet"/>
      </w:pPr>
      <w:r>
        <w:t>Fiilen kullanılan ders kitabının baskısı, içindekiler sırası ve okulun resmî kayıtları.</w:t>
      </w:r>
    </w:p>
    <w:p>
      <w:r>
        <w:rPr>
          <w:i/>
        </w:rPr>
        <w:t>Bu belge Plan Robotu tarafından özgün bir düzenlenebilir taslak olarak hazırlanmıştır. MEB belgesi değildir; kullanımdan önce kurum yönetimi ve ilgili kurul/zümre tarafından doğrulanmalıdır.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123" w:bottom="1037" w:left="1123" w:header="403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57786"/>
        <w:sz w:val="16"/>
      </w:rPr>
      <w:t xml:space="preserve">Plan Robotu · 2026–2027  |  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color w:val="0A2946"/>
        <w:sz w:val="18"/>
      </w:rPr>
      <w:t>PR  PLAN ROBOTU</w:t>
    </w:r>
    <w:r>
      <w:rPr>
        <w:color w:val="657786"/>
        <w:sz w:val="16"/>
      </w:rPr>
      <w:t xml:space="preserve">   |   Sene Başı Öğretmenler Kurulu Alternatifleri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0A294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2E837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0A294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A2946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Sene Başı Öğretmenler Kurulu Alternatifleri</dc:title>
  <dc:subject>2026–2027 özgün Plan Robotu taslakları</dc:subject>
  <dc:creator>Plan Robotu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